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539776e4b6a64748"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37</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PROGRES TRANSILVAN</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Investiții colective în agricultură</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Solicitantul trebuie să demonstreze capacitatea de a asigura cofinanțarea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îndeplinirea criteriului EG 1.6 din setul criteriilor generale; dacă solicitantul îl îndeplinește, criteriul este considerat ca fiind respectat.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Asumarea unor activități în beneficiul comunității sau de mediu de către solicitant în comuna în care este localizată investiția.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Solicitantul trebuie să asume în mod clar, realistși măsurabil o activitate cu impact pozitiv asupra comunității din comuna unde este localizată investiția.</w:t>
            </w:r>
          </w:p>
          <w:p>
            <w:pPr>
              <w:spacing w:line="360" w:lineRule="auto"/>
              <w:ind w:left="0" w:right="0" w:firstLine="493"/>
            </w:pPr>
            <w:r>
              <w:rPr>
                <w:rFonts w:ascii="Cambria" w:hAnsi="Cambria"/>
                <w:b w:val="false"/>
                <w:sz w:val="24"/>
              </w:rPr>
              <w:t>Activitatea trebuie:</w:t>
            </w:r>
          </w:p>
          <w:p>
            <w:pPr>
              <w:spacing w:line="360" w:lineRule="auto"/>
              <w:ind w:left="0" w:right="0" w:firstLine="493"/>
            </w:pPr>
            <w:r>
              <w:rPr>
                <w:rFonts w:ascii="Cambria" w:hAnsi="Cambria"/>
                <w:b w:val="false"/>
                <w:sz w:val="24"/>
              </w:rPr>
              <w:t>- să fie detaliată în documentația depusa (MJ/SF/PT/DALI) ca activitate distinct;</w:t>
            </w:r>
          </w:p>
          <w:p>
            <w:pPr>
              <w:spacing w:line="360" w:lineRule="auto"/>
              <w:ind w:left="0" w:right="0" w:firstLine="493"/>
            </w:pPr>
            <w:r>
              <w:rPr>
                <w:rFonts w:ascii="Cambria" w:hAnsi="Cambria"/>
                <w:b w:val="false"/>
                <w:sz w:val="24"/>
              </w:rPr>
              <w:t>- să fie desfășurată pe durata implementării proiectului;</w:t>
            </w:r>
          </w:p>
          <w:p>
            <w:pPr>
              <w:spacing w:line="360" w:lineRule="auto"/>
              <w:ind w:left="0" w:right="0" w:firstLine="493"/>
            </w:pPr>
            <w:r>
              <w:rPr>
                <w:rFonts w:ascii="Cambria" w:hAnsi="Cambria"/>
                <w:b w:val="false"/>
                <w:sz w:val="24"/>
              </w:rPr>
              <w:t>-să implice cel puțin o categorie de beneficiari locali (copii, tineri, seniori, familii, artizani, elevi etc.).</w:t>
            </w:r>
          </w:p>
          <w:p>
            <w:pPr>
              <w:spacing w:line="360" w:lineRule="auto"/>
              <w:ind w:left="0" w:right="0" w:firstLine="493"/>
            </w:pPr>
            <w:r>
              <w:rPr>
                <w:rFonts w:ascii="Cambria" w:hAnsi="Cambria"/>
                <w:b w:val="false"/>
                <w:sz w:val="24"/>
              </w:rPr>
              <w:t>Exemple de obiective și activități eligibile:</w:t>
            </w:r>
          </w:p>
          <w:p>
            <w:pPr>
              <w:spacing w:line="360" w:lineRule="auto"/>
              <w:ind w:left="0" w:right="0" w:firstLine="493"/>
            </w:pPr>
            <w:r>
              <w:rPr>
                <w:rFonts w:ascii="Cambria" w:hAnsi="Cambria"/>
                <w:b w:val="false"/>
                <w:sz w:val="24"/>
              </w:rPr>
              <w:t>1. Turism ecologic, natură și biodiversitate</w:t>
            </w:r>
          </w:p>
          <w:p>
            <w:pPr>
              <w:spacing w:line="360" w:lineRule="auto"/>
              <w:ind w:left="0" w:right="0" w:firstLine="493"/>
            </w:pPr>
            <w:r>
              <w:rPr>
                <w:rFonts w:ascii="Cambria" w:hAnsi="Cambria"/>
                <w:b w:val="false"/>
                <w:sz w:val="24"/>
              </w:rPr>
              <w:t>- Organizarea de trasee educative tematice pentru elevii din comună, cu panouri despre elemente specifice de flora și fauna protejate din comuna în care se înființează afacerea;</w:t>
            </w:r>
          </w:p>
          <w:p>
            <w:pPr>
              <w:spacing w:line="360" w:lineRule="auto"/>
              <w:ind w:left="0" w:right="0" w:firstLine="493"/>
            </w:pPr>
            <w:r>
              <w:rPr>
                <w:rFonts w:ascii="Cambria" w:hAnsi="Cambria"/>
                <w:b w:val="false"/>
                <w:sz w:val="24"/>
              </w:rPr>
              <w:t>- Implicarea solicitantului în întreținerea unei zone naturale de interes  local (pajiște, izvor, traseu);</w:t>
            </w:r>
          </w:p>
          <w:p>
            <w:pPr>
              <w:bidi w:val="false"/>
              <w:spacing w:line="360" w:lineRule="auto"/>
              <w:ind w:left="0" w:right="0" w:firstLine="493"/>
            </w:pPr>
            <w:r>
              <w:rPr>
                <w:rFonts w:ascii="Cambria" w:hAnsi="Cambria"/>
                <w:b w:val="false"/>
                <w:sz w:val="24"/>
              </w:rPr>
              <w:t>- Organizarea de vizite gratuite ghidate pentru copii sau seniori din  comună în zone naturale protejate.</w:t>
            </w:r>
          </w:p>
          <w:p>
            <w:pPr>
              <w:bidi w:val="false"/>
              <w:spacing w:line="360" w:lineRule="auto"/>
              <w:ind w:left="0" w:right="0" w:firstLine="493"/>
            </w:pPr>
            <w:r>
              <w:rPr>
                <w:rFonts w:ascii="Cambria" w:hAnsi="Cambria"/>
                <w:b w:val="false"/>
                <w:sz w:val="24"/>
              </w:rPr>
              <w:t>2. Meșteșuguri tradiționale și artizanat local</w:t>
            </w:r>
          </w:p>
          <w:p>
            <w:pPr>
              <w:bidi w:val="false"/>
              <w:spacing w:line="360" w:lineRule="auto"/>
              <w:ind w:left="0" w:right="0" w:firstLine="493"/>
            </w:pPr>
            <w:r>
              <w:rPr>
                <w:rFonts w:ascii="Cambria" w:hAnsi="Cambria"/>
                <w:b w:val="false"/>
                <w:sz w:val="24"/>
              </w:rPr>
              <w:t>- Organizarea de ateliere gratuite de artizanat pentru copii sau tineri, inspirate din simbolurile locale;</w:t>
            </w:r>
          </w:p>
          <w:p>
            <w:pPr>
              <w:bidi w:val="false"/>
              <w:spacing w:line="360" w:lineRule="auto"/>
              <w:ind w:left="0" w:right="0" w:firstLine="493"/>
            </w:pPr>
            <w:r>
              <w:rPr>
                <w:rFonts w:ascii="Cambria" w:hAnsi="Cambria"/>
                <w:b w:val="false"/>
                <w:sz w:val="24"/>
              </w:rPr>
              <w:t>- Donarea de obiecte artizanale decorative (plăcuțe, bănci pictate, mobilier de lemn) către școală, cămin cultural sau campanie de adunare a obiectelor artizanale și amplasarea acestora în spații publice din comună (în cazul solicitanților APL);</w:t>
            </w:r>
          </w:p>
          <w:p>
            <w:pPr>
              <w:bidi w:val="false"/>
              <w:spacing w:line="360" w:lineRule="auto"/>
              <w:ind w:left="0" w:right="0" w:firstLine="493"/>
            </w:pPr>
            <w:r>
              <w:rPr>
                <w:rFonts w:ascii="Cambria" w:hAnsi="Cambria"/>
                <w:b w:val="false"/>
                <w:sz w:val="24"/>
              </w:rPr>
              <w:t>- Restaurarea simbolică a unui obiect de patrimoniu rural minor (troiță, poartă, fântână etc.) cu implicarea tinerilor din localitate.</w:t>
            </w:r>
          </w:p>
          <w:p>
            <w:pPr>
              <w:bidi w:val="false"/>
              <w:spacing w:line="360" w:lineRule="auto"/>
              <w:ind w:left="0" w:right="0" w:firstLine="493"/>
            </w:pPr>
            <w:r>
              <w:rPr>
                <w:rFonts w:ascii="Cambria" w:hAnsi="Cambria"/>
                <w:b w:val="false"/>
                <w:sz w:val="24"/>
              </w:rPr>
              <w:t>3.Educație ecologică și activare comunitară</w:t>
            </w:r>
          </w:p>
          <w:p>
            <w:pPr>
              <w:bidi w:val="false"/>
              <w:spacing w:line="360" w:lineRule="auto"/>
              <w:ind w:left="0" w:right="0" w:firstLine="493"/>
            </w:pPr>
            <w:r>
              <w:rPr>
                <w:rFonts w:ascii="Cambria" w:hAnsi="Cambria"/>
                <w:b w:val="false"/>
                <w:sz w:val="24"/>
              </w:rPr>
              <w:t>- Derularea de workshopuri despre protecția naturii sau turism responsabil în școlile din comună;</w:t>
            </w:r>
          </w:p>
          <w:p>
            <w:pPr>
              <w:bidi w:val="false"/>
              <w:spacing w:line="360" w:lineRule="auto"/>
              <w:ind w:left="0" w:right="0" w:firstLine="493"/>
            </w:pPr>
            <w:r>
              <w:rPr>
                <w:rFonts w:ascii="Cambria" w:hAnsi="Cambria"/>
                <w:b w:val="false"/>
                <w:sz w:val="24"/>
              </w:rPr>
              <w:t>- Organizarea unei campanii de curățenie comunitară în parteneriatcu primăria, cu participarea localnicilor;</w:t>
            </w:r>
          </w:p>
          <w:p>
            <w:pPr>
              <w:bidi w:val="false"/>
              <w:spacing w:line="360" w:lineRule="auto"/>
              <w:ind w:left="0" w:right="0" w:firstLine="493"/>
            </w:pPr>
            <w:r>
              <w:rPr>
                <w:rFonts w:ascii="Cambria" w:hAnsi="Cambria"/>
                <w:b w:val="false"/>
                <w:sz w:val="24"/>
              </w:rPr>
              <w:t>- Crearea unui punct de colectare și reciclare a deșeurilor textile, electrice sau plastice, cu scop educativ și ecologic.</w:t>
            </w:r>
          </w:p>
          <w:p>
            <w:pPr>
              <w:bidi w:val="false"/>
              <w:spacing w:line="360" w:lineRule="auto"/>
              <w:ind w:left="0" w:right="0" w:firstLine="493"/>
            </w:pPr>
            <w:r>
              <w:rPr>
                <w:rFonts w:ascii="Cambria" w:hAnsi="Cambria"/>
                <w:b w:val="false"/>
                <w:sz w:val="24"/>
              </w:rPr>
              <w:t>4. Promovarea patrimoniului și identității locale</w:t>
            </w:r>
          </w:p>
          <w:p>
            <w:pPr>
              <w:bidi w:val="false"/>
              <w:spacing w:line="360" w:lineRule="auto"/>
              <w:ind w:left="0" w:right="0" w:firstLine="493"/>
            </w:pPr>
            <w:r>
              <w:rPr>
                <w:rFonts w:ascii="Cambria" w:hAnsi="Cambria"/>
                <w:b w:val="false"/>
                <w:sz w:val="24"/>
              </w:rPr>
              <w:t>- Sponsorizarea/Organizarea unei expoziții foto sau de pictură cu tema relevantă la nivel local, cu lucrări realizate de elevi;</w:t>
            </w:r>
          </w:p>
          <w:p>
            <w:pPr>
              <w:bidi w:val="false"/>
              <w:spacing w:line="360" w:lineRule="auto"/>
              <w:ind w:left="0" w:right="0" w:firstLine="493"/>
            </w:pPr>
            <w:r>
              <w:rPr>
                <w:rFonts w:ascii="Cambria" w:hAnsi="Cambria"/>
                <w:b w:val="false"/>
                <w:sz w:val="24"/>
              </w:rPr>
              <w:t>- Organizarea unei seri de povești locale sau a unui teatru de sat, implicând vârstnici și tineri în punerea în scenă;</w:t>
            </w:r>
          </w:p>
          <w:p>
            <w:pPr>
              <w:bidi w:val="false"/>
              <w:spacing w:line="360" w:lineRule="auto"/>
              <w:ind w:left="0" w:right="0" w:firstLine="493"/>
            </w:pPr>
            <w:r>
              <w:rPr>
                <w:rFonts w:ascii="Cambria" w:hAnsi="Cambria"/>
                <w:b w:val="false"/>
                <w:sz w:val="24"/>
              </w:rPr>
              <w:t>Recomandări pentru solicitanți:</w:t>
            </w:r>
          </w:p>
          <w:p>
            <w:pPr>
              <w:bidi w:val="false"/>
              <w:spacing w:line="360" w:lineRule="auto"/>
              <w:ind w:left="0" w:right="0" w:firstLine="493"/>
            </w:pPr>
            <w:r>
              <w:rPr>
                <w:rFonts w:ascii="Cambria" w:hAnsi="Cambria"/>
                <w:b w:val="false"/>
                <w:sz w:val="24"/>
              </w:rPr>
              <w:t>- Activitatea propusă trebuie să aibă legătură cu domeniul de activitate al proiectului (nu doar sponsorizare generică);</w:t>
            </w:r>
          </w:p>
          <w:p>
            <w:pPr>
              <w:bidi w:val="false"/>
              <w:spacing w:line="360" w:lineRule="auto"/>
              <w:ind w:left="0" w:right="0" w:firstLine="493"/>
            </w:pPr>
            <w:r>
              <w:rPr>
                <w:rFonts w:ascii="Cambria" w:hAnsi="Cambria"/>
                <w:b w:val="false"/>
                <w:sz w:val="24"/>
              </w:rPr>
              <w:t>- Implicarea solicitantului trebuie să fie activă și vizibilă (organizare, facilitare, coordonare)</w:t>
            </w:r>
          </w:p>
          <w:p>
            <w:pPr>
              <w:bidi w:val="false"/>
              <w:spacing w:line="360" w:lineRule="auto"/>
              <w:ind w:left="0" w:right="0" w:firstLine="493"/>
            </w:pPr>
            <w:r>
              <w:rPr>
                <w:rFonts w:ascii="Cambria" w:hAnsi="Cambria"/>
                <w:b w:val="false"/>
                <w:sz w:val="24"/>
              </w:rPr>
              <w:t>- Se recomandă parteneriate cu școli, ONG-uri locale, afaceri locale sau biserici – demonstrate prin scrisori de susținere.</w:t>
            </w:r>
          </w:p>
          <w:p>
            <w:pPr>
              <w:bidi w:val="false"/>
              <w:spacing w:line="360" w:lineRule="auto"/>
              <w:ind w:left="0" w:right="0" w:firstLine="493"/>
            </w:pPr>
            <w:r>
              <w:rPr>
                <w:rFonts w:ascii="Cambria" w:hAnsi="Cambria"/>
                <w:b w:val="false"/>
                <w:sz w:val="24"/>
              </w:rPr>
              <w:t>Metodologie de verificare:</w:t>
            </w:r>
          </w:p>
          <w:p>
            <w:pPr>
              <w:bidi w:val="false"/>
              <w:spacing w:line="360" w:lineRule="auto"/>
              <w:ind w:left="0" w:right="0" w:firstLine="493"/>
            </w:pPr>
            <w:r>
              <w:rPr>
                <w:rFonts w:ascii="Cambria" w:hAnsi="Cambria"/>
                <w:b w:val="false"/>
                <w:sz w:val="24"/>
              </w:rPr>
              <w:t>- Se analizează bugetul și activitățile proiectului pentru a identifica o componentă clar delimitată</w:t>
            </w:r>
          </w:p>
          <w:p>
            <w:pPr>
              <w:bidi w:val="false"/>
              <w:spacing w:line="360" w:lineRule="auto"/>
              <w:ind w:left="0" w:right="0" w:firstLine="493"/>
            </w:pPr>
            <w:r>
              <w:rPr>
                <w:rFonts w:ascii="Cambria" w:hAnsi="Cambria"/>
                <w:b w:val="false"/>
                <w:sz w:val="24"/>
              </w:rPr>
              <w:t>- Se verifică relevanța și caracterul suplimentar al acțiunii (nu trebuie să fie activitatea principală a proiectului).</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MJ/SF/PT/DALI</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sectoarelor prioritare</w:t>
            </w:r>
          </w:p>
        </w:tc>
        <w:tc>
          <w:tcPr>
            <w:shd w:val="clear" w:color="auto" w:fill="CCE1DB"/>
            <w:vAlign w:val="center"/>
          </w:tcPr>
          <w:p>
            <w:pPr>
              <w:spacing w:line="360" w:lineRule="auto"/>
              <w:ind w:left="0" w:right="0" w:firstLine="493"/>
            </w:pPr>
            <w:r>
              <w:rPr>
                <w:rFonts w:ascii="Cambria Bold" w:hAnsi="Cambria Bold"/>
                <w:b/>
                <w:color w:val="014935"/>
                <w:sz w:val="24"/>
              </w:rPr>
              <w:t>50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CS1.1</w:t>
            </w:r>
          </w:p>
        </w:tc>
        <w:tc>
          <w:tcPr>
            <w:shd w:val="clear" w:color="auto" w:fill="F8ECD2"/>
            <w:vAlign w:val="center"/>
          </w:tcPr>
          <w:p>
            <w:r>
              <w:rPr>
                <w:rFonts w:ascii="Cambria" w:hAnsi="Cambria"/>
                <w:b w:val="false"/>
                <w:color w:val="58400C"/>
                <w:sz w:val="24"/>
              </w:rPr>
              <w:t>Proiectul propune investiții în sectorul vegetalVor fi acordate puncte proiectelor care propun investiții în una dintre următoarele grupe mari de cultură din sectorul vegetal:a) Legumicultură și cartofib) Pomicultură, cu excepția pepierelor pomicolec) Cereale</w:t>
            </w:r>
          </w:p>
        </w:tc>
        <w:tc>
          <w:tcPr>
            <w:vAlign w:val="center"/>
          </w:tcPr>
          <w:p>
            <w:pPr>
              <w:keepNext/>
              <w:spacing w:line="360" w:lineRule="auto"/>
              <w:ind w:left="0" w:right="0" w:firstLine="493"/>
              <w:jc w:val="center"/>
            </w:pPr>
            <w:r>
              <w:rPr>
                <w:rFonts w:ascii="Cambria" w:hAnsi="Cambria"/>
                <w:b w:val="false"/>
                <w:sz w:val="24"/>
              </w:rPr>
              <w:t>50</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Metodologie de verificare:Pentru acordarea punctajului se va lua în considerare cultura majoritară din punct de vedere al dimensiunii economice (SO) în momentul depunerii proiectului. În cazul exploataţiilor mixte analiza SO se va face comparativ cu totalul SO al întregii exploataţii. Atenţie! Beneficiarul va trebui să-şi menţină ca prioritară, cel puțin pe durata primului an de monitorizare a investiției, grupa mare de cultură pentru care a primit punctaj.Documente obligatorii:- MJ/SF/PT/DALI</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Principiul eco-eficienței și a practicilor sustenabile</w:t>
            </w:r>
          </w:p>
        </w:tc>
        <w:tc>
          <w:tcPr>
            <w:shd w:val="clear" w:color="auto" w:fill="CCE1DB"/>
            <w:vAlign w:val="center"/>
          </w:tcPr>
          <w:p>
            <w:pPr>
              <w:spacing w:line="360" w:lineRule="auto"/>
              <w:ind w:left="0" w:right="0" w:firstLine="493"/>
            </w:pPr>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CS2.1</w:t>
            </w:r>
          </w:p>
        </w:tc>
        <w:tc>
          <w:tcPr>
            <w:shd w:val="clear" w:color="auto" w:fill="F8ECD2"/>
            <w:vAlign w:val="center"/>
          </w:tcPr>
          <w:p>
            <w:r>
              <w:rPr>
                <w:rFonts w:ascii="Cambria" w:hAnsi="Cambria"/>
                <w:b w:val="false"/>
                <w:color w:val="58400C"/>
                <w:sz w:val="24"/>
              </w:rPr>
              <w:t> Proiectele care propun acțiuni ce vizează ecoeficiența și practicile sustenabile.Exemple de practici vizate (enumerare orientativă, nu limitativă):- utilizarea materialelor reciclabile sau biodegradabile în procesul de producție, ambalare sau construcție;- reducerea consumului de energie prin utilizarea echipamentelor eficiente energetic (ex. clase A+++, pompe de căldură, panouri solare, LED-uri etc.);- reducerea deșeurilor prin reciclare, reutilizare, economie circulară, compostare sau optimizarea fluxurilor de producție;- implementarea de tehnologii cu emisii reduse sau nepoluante (ex. mașini electrice, sisteme de filtrare, procese fără substanțe toxice);- gestionarea durabilă a resurselor naturale (apă, sol, lemn, energie solară);- activități educaționale sau de conștientizare privind sustenabilitatea (ateliere, produse demonstrative etc.). </w:t>
            </w:r>
          </w:p>
        </w:tc>
        <w:tc>
          <w:tcPr>
            <w:vAlign w:val="center"/>
          </w:tcPr>
          <w:p>
            <w:pPr>
              <w:keepNext/>
              <w:spacing w:line="360" w:lineRule="auto"/>
              <w:ind w:left="0" w:right="0" w:firstLine="493"/>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Proiectul trebuie să demonstreze în mod clar că promovează sau integrează cel puțin una dintre următoarele abordări:</w:t>
            </w:r>
          </w:p>
          <w:p>
            <w:pPr>
              <w:spacing w:line="360" w:lineRule="auto"/>
              <w:ind w:left="0" w:right="0" w:firstLine="493"/>
            </w:pPr>
            <w:r>
              <w:rPr>
                <w:rFonts w:ascii="Cambria" w:hAnsi="Cambria"/>
                <w:b w:val="false"/>
                <w:sz w:val="24"/>
              </w:rPr>
              <w:t>- Eco-eficiență – prin soluții care optimizează utilizarea resurselor și reduc impactul asupra mediului;</w:t>
            </w:r>
          </w:p>
          <w:p>
            <w:pPr>
              <w:spacing w:line="360" w:lineRule="auto"/>
              <w:ind w:left="0" w:right="0" w:firstLine="493"/>
            </w:pPr>
            <w:r>
              <w:rPr>
                <w:rFonts w:ascii="Cambria" w:hAnsi="Cambria"/>
                <w:b w:val="false"/>
                <w:sz w:val="24"/>
              </w:rPr>
              <w:t>- Tehnologii verzi sau nepoluante – prin alegerea unor echipamente sau metode de lucru sustenabile;</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Principiul maturității solicitantului</w:t>
            </w:r>
          </w:p>
        </w:tc>
        <w:tc>
          <w:tcPr>
            <w:shd w:val="clear" w:color="auto" w:fill="CCE1DB"/>
            <w:vAlign w:val="center"/>
          </w:tcPr>
          <w:p>
            <w:pPr>
              <w:spacing w:line="360" w:lineRule="auto"/>
              <w:ind w:left="0" w:right="0" w:firstLine="493"/>
            </w:pPr>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CS3.1</w:t>
            </w:r>
          </w:p>
        </w:tc>
        <w:tc>
          <w:tcPr>
            <w:shd w:val="clear" w:color="auto" w:fill="F8ECD2"/>
            <w:vAlign w:val="center"/>
          </w:tcPr>
          <w:p>
            <w:r>
              <w:rPr>
                <w:rFonts w:ascii="Cambria" w:hAnsi="Cambria"/>
                <w:b w:val="false"/>
                <w:color w:val="58400C"/>
                <w:sz w:val="24"/>
              </w:rPr>
              <w:t>Proiecte depuse de solicitanți care dovedesc activitate relevantă în domeniul agricolSe acordă punctaj proiectelor al căror solicitant desfășoară activitate relevantă în domeniul agricol de cel puțin 3 ani consecutivi anterior datei depunerii cererii de finanțare.</w:t>
            </w:r>
          </w:p>
        </w:tc>
        <w:tc>
          <w:tcPr>
            <w:vAlign w:val="center"/>
          </w:tcPr>
          <w:p>
            <w:pPr>
              <w:keepNext/>
              <w:spacing w:line="360" w:lineRule="auto"/>
              <w:ind w:left="0" w:right="0" w:firstLine="493"/>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r>
              <w:rPr>
                <w:rFonts w:ascii="Cambria" w:hAnsi="Cambria"/>
                <w:b w:val="false"/>
                <w:sz w:val="24"/>
              </w:rPr>
              <w:t>Metodologia de verificare:Se analizează documentele oficiale din care reiese data începerii activității economice în domeniul agricol.Perioada de referință trebuie să acopere cel puțin 3 ani consecutivi anterior depunerii cererii de finanțare.Activitatea desfășurată în perioada menționată trebuie să fie direct relevantă pentru domeniul agricol și corelată cu tipul investiției propuse prin proiect.Documente obligatorii:Certificat constatator ONRC (pentru persoane juridice/PFA/II/IF), care să menționeze:- Codul CAEN principal și/sau secundar relevant pentru agricultură;- Data înființării entității.</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pPr>
              <w:spacing w:line="360" w:lineRule="auto"/>
              <w:ind w:left="0" w:right="0" w:firstLine="493"/>
            </w:pPr>
            <w:r>
              <w:rPr>
                <w:rFonts w:ascii="Cambria" w:hAnsi="Cambria"/>
                <w:b w:val="false"/>
                <w:color w:val="58400C"/>
                <w:sz w:val="24"/>
              </w:rPr>
              <w:t>CD </w:t>
            </w:r>
          </w:p>
        </w:tc>
        <w:tc>
          <w:tcPr>
            <w:shd w:val="clear" w:color="auto" w:fill="F8ECD2"/>
            <w:vAlign w:val="center"/>
          </w:tcPr>
          <w:p>
            <w:pPr>
              <w:spacing w:line="360" w:lineRule="auto"/>
              <w:ind w:left="0" w:right="0" w:firstLine="493"/>
            </w:pPr>
            <w:r>
              <w:rPr>
                <w:rFonts w:ascii="Cambria" w:hAnsi="Cambria"/>
                <w:b w:val="false"/>
                <w:color w:val="58400C"/>
                <w:sz w:val="24"/>
              </w:rPr>
              <w:t>Vârsta solicitantului</w:t>
            </w:r>
          </w:p>
        </w:tc>
        <w:tc>
          <w:tcPr>
            <w:vAlign w:val="center"/>
          </w:tcPr>
          <w:p/>
        </w:tc>
        <w:tc>
          <w:tcPr>
            <w:vAlign w:val="center"/>
          </w:tcPr>
          <w:p/>
        </w:tc>
        <w:tc>
          <w:tcPr>
            <w:vAlign w:val="center"/>
          </w:tcPr>
          <w:p/>
        </w:tc>
      </w:tr>
      <w:tr>
        <w:trPr/>
        <w:tc>
          <w:tcPr>
            <w:gridSpan w:val="5"/>
            <w:shd w:val="clear" w:color="auto" w:fill="DDDDDD"/>
            <w:vAlign w:val="center"/>
          </w:tcPr>
          <w:p>
            <w:r>
              <w:rPr>
                <w:rFonts w:ascii="Cambria Bold" w:hAnsi="Cambria Bold"/>
                <w:b/>
                <w:sz w:val="24"/>
              </w:rPr>
              <w:t>Metodologie de verificare:</w:t>
            </w:r>
            <w:r>
              <w:rPr>
                <w:rFonts w:ascii="Cambria" w:hAnsi="Cambria"/>
                <w:b w:val="false"/>
                <w:sz w:val="24"/>
              </w:rPr>
              <w:t>În situația în care două sau mai multe proiecte obțin același punctaj final, va fi aplicat un criteriu de departajare în favoarea proiectelor inițiate de solicitanți tineri. Verificarea se va realiza astfel:</w:t>
            </w:r>
          </w:p>
          <w:p>
            <w:pPr>
              <w:pStyle w:val="ListParagraph"/>
              <w:numPr>
                <w:ilvl w:val="0"/>
                <w:numId w:val="2"/>
              </w:numPr>
            </w:pPr>
            <w:r>
              <w:rPr>
                <w:rFonts w:ascii="Cambria" w:hAnsi="Cambria"/>
                <w:b w:val="false"/>
                <w:sz w:val="24"/>
              </w:rPr>
              <w:t>Se verifică data nașterii persoanei relevante (reprezentantului legal) conform actului de identitate. Va avea prioritate solicitantul mai tânăr (cu data nașterii mai recentă).</w:t>
            </w:r>
          </w:p>
          <w:p>
            <w:pPr>
              <w:spacing w:line="360" w:lineRule="auto"/>
              <w:ind w:left="0" w:right="0" w:firstLine="493"/>
            </w:pPr>
            <w:r>
              <w:rPr>
                <w:rFonts w:ascii="Cambria Bold" w:hAnsi="Cambria Bold"/>
                <w:b/>
                <w:sz w:val="24"/>
              </w:rPr>
              <w:t>Documente obligatorii:</w:t>
            </w:r>
          </w:p>
          <w:p>
            <w:pPr>
              <w:pStyle w:val="ListParagraph"/>
              <w:numPr>
                <w:ilvl w:val="0"/>
                <w:numId w:val="3"/>
              </w:numPr>
            </w:pPr>
            <w:r>
              <w:rPr>
                <w:rFonts w:ascii="Cambria" w:hAnsi="Cambria"/>
                <w:b w:val="false"/>
                <w:sz w:val="24"/>
              </w:rPr>
              <w:t>Copie după actul de identitate (carte de identitate) al reprezentantului legal – document care atestă data nașterii.</w:t>
            </w:r>
          </w:p>
          <w:p>
            <w:pPr>
              <w:pStyle w:val="ListParagraph"/>
              <w:numPr>
                <w:ilvl w:val="0"/>
                <w:numId w:val="3"/>
              </w:numPr>
            </w:pPr>
            <w:r>
              <w:rPr>
                <w:rFonts w:ascii="Cambria" w:hAnsi="Cambria"/>
                <w:b w:val="false"/>
                <w:sz w:val="24"/>
              </w:rPr>
              <w:t>Certificat constatator emis de ONRC – pentru confirmarea calității de reprezentantului legal.</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7ff82167dc084d52" /><Relationship Type="http://schemas.openxmlformats.org/officeDocument/2006/relationships/numbering" Target="/word/numbering.xml" Id="R848d00bf4ab64b35" /></Relationships>
</file>